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0"/>
          <w:szCs w:val="20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附件2：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昆明医科大学202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年护理学专业同等学力课程进修班招生信息表</w:t>
      </w:r>
    </w:p>
    <w:tbl>
      <w:tblPr>
        <w:tblStyle w:val="2"/>
        <w:tblW w:w="134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900"/>
        <w:gridCol w:w="717"/>
        <w:gridCol w:w="650"/>
        <w:gridCol w:w="2650"/>
        <w:gridCol w:w="1650"/>
        <w:gridCol w:w="1850"/>
        <w:gridCol w:w="1817"/>
        <w:gridCol w:w="2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获得学士学位证书时间（年月）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外语水平及分数（如：六级425分）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MzY4ODFkY2I3Y2RjNDYwYzFjZGVhYzI0NzBlNWYifQ=="/>
  </w:docVars>
  <w:rsids>
    <w:rsidRoot w:val="1A805F77"/>
    <w:rsid w:val="1A805F77"/>
    <w:rsid w:val="3883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2023-06-06T05:12:00Z</dcterms:created>
  <dc:creator>文信</dc:creator>
  <cp:lastModifiedBy>眉眼。</cp:lastModifiedBy>
  <dcterms:modified xsi:type="dcterms:W3CDTF">2023-12-11T00:57:51Z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4B9A4EDDA5AE4921AF070D06462AFBC7_13</vt:lpwstr>
  </property>
</Properties>
</file>